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 xml:space="preserve">Список победителей второго </w:t>
      </w:r>
      <w:r>
        <w:rPr>
          <w:b/>
          <w:bCs/>
          <w:sz w:val="26"/>
          <w:szCs w:val="26"/>
        </w:rPr>
        <w:t>конкурса</w:t>
      </w:r>
      <w:bookmarkEnd w:id="0"/>
      <w:r>
        <w:rPr>
          <w:b/>
          <w:bCs/>
          <w:sz w:val="26"/>
          <w:szCs w:val="26"/>
        </w:rPr>
        <w:t xml:space="preserve"> </w:t>
      </w:r>
    </w:p>
    <w:p>
      <w:pPr>
        <w:pStyle w:val="BodyText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социально ориентированных некоммерческих организаций </w:t>
      </w:r>
    </w:p>
    <w:p>
      <w:pPr>
        <w:pStyle w:val="BodyText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право получения в 202</w:t>
      </w:r>
      <w:r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году грантов </w:t>
      </w:r>
    </w:p>
    <w:p>
      <w:pPr>
        <w:pStyle w:val="BodyText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 окружного бюджета и размеров предоставляемых грантов</w:t>
      </w:r>
    </w:p>
    <w:p>
      <w:pPr>
        <w:pStyle w:val="BodyText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5"/>
        <w:tblW w:w="14884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5"/>
        <w:gridCol w:w="3148"/>
        <w:gridCol w:w="1389"/>
        <w:gridCol w:w="1701"/>
        <w:gridCol w:w="2408"/>
        <w:gridCol w:w="3687"/>
        <w:gridCol w:w="2125"/>
      </w:tblGrid>
      <w:tr>
        <w:trPr/>
        <w:tc>
          <w:tcPr>
            <w:tcW w:w="42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148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Наименование организации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spacing w:before="0" w:after="0"/>
              <w:ind w:left="-137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ИНН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0"/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ОГРН</w:t>
            </w:r>
          </w:p>
        </w:tc>
        <w:tc>
          <w:tcPr>
            <w:tcW w:w="2408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Название проекта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Краткое описание проекта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spacing w:before="0" w:after="0"/>
              <w:ind w:left="-109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Размер предоставляемого гранта</w:t>
            </w:r>
          </w:p>
        </w:tc>
      </w:tr>
      <w:tr>
        <w:trPr/>
        <w:tc>
          <w:tcPr>
            <w:tcW w:w="42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3148" w:type="dxa"/>
            <w:tcBorders/>
          </w:tcPr>
          <w:p>
            <w:pPr>
              <w:pStyle w:val="BodyText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Религиозная организация «Нарьян-Марская Епархия Русской Православной Церкви (Московский Патриархат)»</w:t>
            </w:r>
          </w:p>
        </w:tc>
        <w:tc>
          <w:tcPr>
            <w:tcW w:w="1389" w:type="dxa"/>
            <w:tcBorders/>
          </w:tcPr>
          <w:p>
            <w:pPr>
              <w:pStyle w:val="BodyText"/>
              <w:widowControl/>
              <w:suppressAutoHyphens w:val="true"/>
              <w:spacing w:lineRule="auto" w:line="240" w:before="0" w:after="0"/>
              <w:ind w:hanging="0" w:left="-108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2983008261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BodyText"/>
              <w:spacing w:before="0" w:after="0"/>
              <w:ind w:left="-108" w:right="-108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1128399000014</w:t>
            </w:r>
          </w:p>
          <w:p>
            <w:pPr>
              <w:pStyle w:val="Normal"/>
              <w:spacing w:before="0" w:after="0"/>
              <w:ind w:left="-108" w:right="-108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  <w:shd w:fill="auto" w:val="clear"/>
              </w:rPr>
              <w:t>«Духовные основы патриотизма: укрепление межнациональных и традиционных ценностей и гражданской идентичности в отдаленных поселениях Ненецкого автономного округа»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Духовно-нравственное и патриотическое воспитание населения отдаленных районов НАО посредством проведения цикла миссионерских поездок, направленных на укрепление межнациональных отношений и гражданской идентичности, а также на формирование осознанной любви к Родине.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и проведение не менее 5 миссионерских поездок в отдаленные поселения епархии в течение 2026 года.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Проведение не менее 15 просветительских мероприятий (бесед, лекций, круглых столов) на темы: «Вера и Отечество: историческая связь», «Христианские добродетели в современном мире», «Жертвенное служение как основа патриотизма».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тематических встреч с молодежью допризывного возраста и военнослужащими местных воинских частей (не менее 3 встреч).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Информационное сопровождение проекта.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79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  <w:shd w:fill="auto" w:val="clear"/>
              </w:rPr>
              <w:t>877 000,00</w:t>
            </w:r>
          </w:p>
        </w:tc>
      </w:tr>
      <w:tr>
        <w:trPr/>
        <w:tc>
          <w:tcPr>
            <w:tcW w:w="42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148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Местная религиозная организация «Старообрядческая поморская община» города Нарьян-Мара Древлеправославной Поморской Церкви</w:t>
            </w:r>
          </w:p>
        </w:tc>
        <w:tc>
          <w:tcPr>
            <w:tcW w:w="1389" w:type="dxa"/>
            <w:tcBorders/>
          </w:tcPr>
          <w:p>
            <w:pPr>
              <w:pStyle w:val="Normal"/>
              <w:spacing w:before="0" w:after="0"/>
              <w:ind w:left="-137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8300004378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spacing w:before="0" w:after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1038302270082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«Духовной памятью едины: от Победы в Великой Отечественной войне к 100-летию Ненецкого автономного округа»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Укрепление межнационального и межконфессионального единства в Ненецком автономном округе через сохранение исторической памяти о подвиге защитников Отечества – старообрядцев Заполярья – в Год единства народов России и в преддверии 100-летия НАО.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встречи и размещения гостей-паломников из регионов России.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Проведение крестного хода из Нарьян-Мара в Пустозерск с панихидой мученикам за древнюю Святую веру, а также по павшим воинам в Великую Отечественную войну.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Изготовление и установка стенда «Герои-староверы – защитники Родины» на территории церковного комплекса.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79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826 625,00</w:t>
            </w:r>
          </w:p>
        </w:tc>
      </w:tr>
      <w:tr>
        <w:trPr/>
        <w:tc>
          <w:tcPr>
            <w:tcW w:w="42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148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Местная религиозная организация мусульман рп. Искателей Заполярного района Ненецкого автономного округа</w:t>
            </w:r>
          </w:p>
        </w:tc>
        <w:tc>
          <w:tcPr>
            <w:tcW w:w="1389" w:type="dxa"/>
            <w:tcBorders/>
          </w:tcPr>
          <w:p>
            <w:pPr>
              <w:pStyle w:val="Normal"/>
              <w:spacing w:before="0" w:after="0"/>
              <w:ind w:left="-137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2983014000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spacing w:before="0" w:after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1212900004261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«Ислам против экстремизма и терроризма!»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Создание условий для духовно-нравственного развития личности и объединение усилий гражданского общества, органов государственной власти в области профилактики экстремизма и терроризма среди населения Ненецкого автономного округа, посредством проведения просветительских мероприятий.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и проведение лекций по профилактике терроризма и экстремизма среди граждан, исповедующих ислам, молодежи.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встреч по чтению и изучению Корана, благотворительный ужин.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Организация и проведение субботников.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spacing w:before="0" w:after="0"/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696</w:t>
            </w: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  <w:r>
              <w:rPr>
                <w:kern w:val="0"/>
                <w:sz w:val="24"/>
                <w:szCs w:val="24"/>
                <w:lang w:val="ru-RU" w:bidi="ar-SA"/>
              </w:rPr>
              <w:t>00,00</w:t>
            </w:r>
          </w:p>
        </w:tc>
      </w:tr>
      <w:tr>
        <w:trPr/>
        <w:tc>
          <w:tcPr>
            <w:tcW w:w="42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148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Региональная общественная организация по сохранению культурного наследия народов, проживающих на территории Ненецкого автономного округа «Разноцветье Арктики»</w:t>
            </w:r>
          </w:p>
        </w:tc>
        <w:tc>
          <w:tcPr>
            <w:tcW w:w="1389" w:type="dxa"/>
            <w:tcBorders/>
          </w:tcPr>
          <w:p>
            <w:pPr>
              <w:pStyle w:val="Normal"/>
              <w:spacing w:before="0" w:after="0"/>
              <w:ind w:left="-137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2983015043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spacing w:before="0" w:after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1232900002202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«ДруЖИТЬ под небом Арктики! – часть 4 (1, 2 сезон)»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Проведение мероприятий в рамках проекта по а</w:t>
            </w: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даптации и интеграции детей – инофонов (детей иностранных граждан) плохо владеющих русским языком в российское сообщество, посредством создания занятий по овладению системой русского языка для коммуникации в условиях русской речевой среды (обучение русскому языку), знакомство с историей округа и этическими нормами поведения.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79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auto" w:val="clear"/>
              </w:rPr>
              <w:t>1 100 000,00</w:t>
            </w:r>
          </w:p>
        </w:tc>
      </w:tr>
    </w:tbl>
    <w:p>
      <w:pPr>
        <w:pStyle w:val="BodyText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__________</w:t>
      </w:r>
    </w:p>
    <w:sectPr>
      <w:type w:val="nextPage"/>
      <w:pgSz w:orient="landscape" w:w="16838" w:h="11906"/>
      <w:pgMar w:left="1134" w:right="1134" w:gutter="0" w:header="0" w:top="1418" w:footer="0" w:bottom="851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4fd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674fd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14c53"/>
    <w:rPr>
      <w:rFonts w:ascii="Segoe UI" w:hAnsi="Segoe UI" w:eastAsia="Times New Roman" w:cs="Segoe UI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4"/>
    <w:rsid w:val="00674fdd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14c53"/>
    <w:pPr/>
    <w:rPr>
      <w:rFonts w:ascii="Segoe UI" w:hAnsi="Segoe UI" w:cs="Segoe UI"/>
      <w:sz w:val="18"/>
      <w:szCs w:val="18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74f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LibreOffice/25.2.6.2$Linux_X86_64 LibreOffice_project/520$Build-2</Application>
  <AppVersion>15.0000</AppVersion>
  <Pages>3</Pages>
  <Words>414</Words>
  <Characters>3117</Characters>
  <CharactersWithSpaces>3489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2025-07-14T13:32:00Z</dcterms:created>
  <dc:creator>Шапов Сергей Аркадьевич</dc:creator>
  <dc:description/>
  <dc:language>ru-RU</dc:language>
  <cp:lastModifiedBy/>
  <cp:lastPrinted>2025-07-08T09:03:00Z</cp:lastPrinted>
  <dcterms:modified xsi:type="dcterms:W3CDTF">2026-08-28T10:19:42Z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