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8" w:rsidRDefault="00CD1E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1EB8" w:rsidRDefault="00CD1E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1E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1EB8" w:rsidRDefault="00CD1EB8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1EB8" w:rsidRDefault="00CD1EB8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:rsidR="00CD1EB8" w:rsidRDefault="00CD1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</w:pPr>
      <w:r>
        <w:t>УКАЗ</w:t>
      </w:r>
    </w:p>
    <w:p w:rsidR="00CD1EB8" w:rsidRDefault="00CD1EB8">
      <w:pPr>
        <w:pStyle w:val="ConsPlusTitle"/>
        <w:jc w:val="center"/>
      </w:pPr>
    </w:p>
    <w:p w:rsidR="00CD1EB8" w:rsidRDefault="00CD1EB8">
      <w:pPr>
        <w:pStyle w:val="ConsPlusTitle"/>
        <w:jc w:val="center"/>
      </w:pPr>
      <w:r>
        <w:t>ПРЕЗИДЕНТА РОССИЙСКОЙ ФЕДЕРАЦИИ</w:t>
      </w:r>
    </w:p>
    <w:p w:rsidR="00CD1EB8" w:rsidRDefault="00CD1EB8">
      <w:pPr>
        <w:pStyle w:val="ConsPlusTitle"/>
        <w:jc w:val="center"/>
      </w:pPr>
    </w:p>
    <w:p w:rsidR="00CD1EB8" w:rsidRDefault="00CD1EB8">
      <w:pPr>
        <w:pStyle w:val="ConsPlusTitle"/>
        <w:jc w:val="center"/>
      </w:pPr>
      <w:r>
        <w:t>ОБ УТВЕРЖДЕНИИ СТРАТЕГИИ</w:t>
      </w:r>
    </w:p>
    <w:p w:rsidR="00CD1EB8" w:rsidRDefault="00CD1EB8">
      <w:pPr>
        <w:pStyle w:val="ConsPlusTitle"/>
        <w:jc w:val="center"/>
      </w:pPr>
      <w:r>
        <w:t>ПРОТИВОДЕЙСТВИЯ ЭКСТРЕМИЗМУ В РОССИЙСКОЙ ФЕДЕРАЦИИ</w:t>
      </w:r>
    </w:p>
    <w:p w:rsidR="00CD1EB8" w:rsidRDefault="00CD1EB8">
      <w:pPr>
        <w:pStyle w:val="ConsPlusTitle"/>
        <w:jc w:val="center"/>
      </w:pPr>
      <w:r>
        <w:t>ДО 2025 ГОДА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1. Утвердить прилагаемую новую редакцию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jc w:val="right"/>
      </w:pPr>
      <w:r>
        <w:t>Президент</w:t>
      </w:r>
    </w:p>
    <w:p w:rsidR="00CD1EB8" w:rsidRDefault="00CD1EB8">
      <w:pPr>
        <w:pStyle w:val="ConsPlusNormal"/>
        <w:jc w:val="right"/>
      </w:pPr>
      <w:r>
        <w:t>Российской Федерации</w:t>
      </w:r>
    </w:p>
    <w:p w:rsidR="00CD1EB8" w:rsidRDefault="00CD1EB8">
      <w:pPr>
        <w:pStyle w:val="ConsPlusNormal"/>
        <w:jc w:val="right"/>
      </w:pPr>
      <w:r>
        <w:t>В.ПУТИН</w:t>
      </w:r>
    </w:p>
    <w:p w:rsidR="00CD1EB8" w:rsidRDefault="00CD1EB8">
      <w:pPr>
        <w:pStyle w:val="ConsPlusNormal"/>
      </w:pPr>
      <w:r>
        <w:t>Москва, Кремль</w:t>
      </w:r>
    </w:p>
    <w:p w:rsidR="00CD1EB8" w:rsidRDefault="00CD1EB8">
      <w:pPr>
        <w:pStyle w:val="ConsPlusNormal"/>
        <w:spacing w:before="220"/>
      </w:pPr>
      <w:r>
        <w:t>29 мая 2020 года</w:t>
      </w:r>
    </w:p>
    <w:p w:rsidR="00CD1EB8" w:rsidRDefault="00CD1EB8">
      <w:pPr>
        <w:pStyle w:val="ConsPlusNormal"/>
        <w:spacing w:before="220"/>
      </w:pPr>
      <w:r>
        <w:t>N 344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jc w:val="right"/>
        <w:outlineLvl w:val="0"/>
      </w:pPr>
      <w:r>
        <w:t>Утверждена</w:t>
      </w:r>
    </w:p>
    <w:p w:rsidR="00CD1EB8" w:rsidRDefault="00CD1EB8">
      <w:pPr>
        <w:pStyle w:val="ConsPlusNormal"/>
        <w:jc w:val="right"/>
      </w:pPr>
      <w:r>
        <w:t>Указом Президента</w:t>
      </w:r>
    </w:p>
    <w:p w:rsidR="00CD1EB8" w:rsidRDefault="00CD1EB8">
      <w:pPr>
        <w:pStyle w:val="ConsPlusNormal"/>
        <w:jc w:val="right"/>
      </w:pPr>
      <w:r>
        <w:t>Российской Федерации</w:t>
      </w:r>
    </w:p>
    <w:p w:rsidR="00CD1EB8" w:rsidRDefault="00CD1EB8">
      <w:pPr>
        <w:pStyle w:val="ConsPlusNormal"/>
        <w:jc w:val="right"/>
      </w:pPr>
      <w:r>
        <w:t>от 29 мая 2020 г. N 344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</w:pPr>
      <w:r>
        <w:t>СТРАТЕГИЯ</w:t>
      </w:r>
    </w:p>
    <w:p w:rsidR="00CD1EB8" w:rsidRDefault="00CD1EB8">
      <w:pPr>
        <w:pStyle w:val="ConsPlusTitle"/>
        <w:jc w:val="center"/>
      </w:pPr>
      <w:r>
        <w:t>ПРОТИВОДЕЙСТВИЯ ЭКСТРЕМИЗМУ В РОССИЙСКОЙ ФЕДЕРАЦИИ</w:t>
      </w:r>
    </w:p>
    <w:p w:rsidR="00CD1EB8" w:rsidRDefault="00CD1EB8">
      <w:pPr>
        <w:pStyle w:val="ConsPlusTitle"/>
        <w:jc w:val="center"/>
      </w:pPr>
      <w:r>
        <w:t>ДО 2025 ГОДА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  <w:outlineLvl w:val="1"/>
      </w:pPr>
      <w:r>
        <w:t>I. Общие положения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</w:t>
      </w:r>
      <w:proofErr w:type="gramEnd"/>
      <w: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</w:t>
      </w:r>
      <w:r>
        <w:lastRenderedPageBreak/>
        <w:t>дестабилизацию внутриполитической и социальной обстановки в стране.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CD1EB8" w:rsidRDefault="00CD1EB8">
      <w:pPr>
        <w:pStyle w:val="ConsPlusNormal"/>
        <w:spacing w:before="220"/>
        <w:ind w:firstLine="540"/>
        <w:jc w:val="both"/>
      </w:pPr>
      <w:proofErr w:type="gramStart"/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CD1EB8" w:rsidRDefault="00CD1EB8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  <w:outlineLvl w:val="1"/>
      </w:pPr>
      <w:r>
        <w:t>II. Основные источники угроз экстремизма</w:t>
      </w:r>
    </w:p>
    <w:p w:rsidR="00CD1EB8" w:rsidRDefault="00CD1EB8">
      <w:pPr>
        <w:pStyle w:val="ConsPlusTitle"/>
        <w:jc w:val="center"/>
      </w:pPr>
      <w:r>
        <w:t>в современной России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</w:t>
      </w:r>
      <w:r>
        <w:lastRenderedPageBreak/>
        <w:t>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CD1EB8" w:rsidRDefault="00CD1EB8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>
        <w:t xml:space="preserve"> в обществе.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CD1EB8" w:rsidRDefault="00CD1EB8">
      <w:pPr>
        <w:pStyle w:val="ConsPlusNormal"/>
        <w:spacing w:before="220"/>
        <w:ind w:firstLine="540"/>
        <w:jc w:val="both"/>
      </w:pPr>
      <w:proofErr w:type="gramStart"/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>
        <w:t xml:space="preserve"> осуществлению.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10. Экстремизм </w:t>
      </w:r>
      <w:proofErr w:type="gramStart"/>
      <w:r>
        <w:t>распространяется за пределы отдельных государств и представляет</w:t>
      </w:r>
      <w:proofErr w:type="gramEnd"/>
      <w:r>
        <w:t xml:space="preserve">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13. Наиболее опасными проявлениями экстремизма являются возбуждение ненависти либо </w:t>
      </w:r>
      <w:r>
        <w:lastRenderedPageBreak/>
        <w:t>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</w:t>
      </w:r>
      <w:r>
        <w:lastRenderedPageBreak/>
        <w:t>вовлечение в совершение преступлений экстремистской направленности.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22. Особую опасность представляют приверженцы радикальных течений ислама, в </w:t>
      </w:r>
      <w:proofErr w:type="gramStart"/>
      <w:r>
        <w:t>частности</w:t>
      </w:r>
      <w:proofErr w:type="gramEnd"/>
      <w: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>
        <w:t>осуществляемая</w:t>
      </w:r>
      <w:proofErr w:type="gramEnd"/>
      <w: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:rsidR="00CD1EB8" w:rsidRDefault="00CD1EB8">
      <w:pPr>
        <w:pStyle w:val="ConsPlusTitle"/>
        <w:jc w:val="center"/>
      </w:pPr>
      <w:r>
        <w:t>политики в сфере противодействия экстремизму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lastRenderedPageBreak/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:rsidR="00CD1EB8" w:rsidRDefault="00CD1EB8">
      <w:pPr>
        <w:pStyle w:val="ConsPlusNormal"/>
        <w:spacing w:before="220"/>
        <w:ind w:firstLine="540"/>
        <w:jc w:val="both"/>
      </w:pPr>
      <w:proofErr w:type="gramStart"/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  <w:proofErr w:type="gramEnd"/>
    </w:p>
    <w:p w:rsidR="00CD1EB8" w:rsidRDefault="00CD1EB8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повышение эффективности работы правоохранительных органов по выявлению и </w:t>
      </w:r>
      <w:r>
        <w:lastRenderedPageBreak/>
        <w:t>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:rsidR="00CD1EB8" w:rsidRDefault="00CD1EB8">
      <w:pPr>
        <w:pStyle w:val="ConsPlusNormal"/>
        <w:spacing w:before="220"/>
        <w:ind w:firstLine="540"/>
        <w:jc w:val="both"/>
      </w:pPr>
      <w:proofErr w:type="gramStart"/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CD1EB8" w:rsidRDefault="00CD1EB8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lastRenderedPageBreak/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CD1EB8" w:rsidRDefault="00CD1EB8">
      <w:pPr>
        <w:pStyle w:val="ConsPlusNormal"/>
        <w:spacing w:before="220"/>
        <w:ind w:firstLine="540"/>
        <w:jc w:val="both"/>
      </w:pPr>
      <w:proofErr w:type="gramStart"/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CD1EB8" w:rsidRDefault="00CD1EB8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lastRenderedPageBreak/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экстремистской идеологии;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</w:t>
      </w:r>
      <w:proofErr w:type="gramStart"/>
      <w:r>
        <w:t>содержащейся</w:t>
      </w:r>
      <w:proofErr w:type="gramEnd"/>
      <w:r>
        <w:t xml:space="preserve"> в экстремистских материалах;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lastRenderedPageBreak/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проведение мероприятий по своевременному выявлению и пресечению фактов радикализации несовершеннолетних;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государственная поддержка производства продукции средств массовой информации и </w:t>
      </w:r>
      <w:r>
        <w:lastRenderedPageBreak/>
        <w:t>создания художественных произведений, направленных на профилактику экстремистских проявлений;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продвижение в двустороннем и многостороннем </w:t>
      </w:r>
      <w:proofErr w:type="gramStart"/>
      <w:r>
        <w:t>форматах</w:t>
      </w:r>
      <w:proofErr w:type="gramEnd"/>
      <w: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CD1EB8" w:rsidRDefault="00CD1EB8">
      <w:pPr>
        <w:pStyle w:val="ConsPlusNormal"/>
        <w:spacing w:before="220"/>
        <w:ind w:firstLine="540"/>
        <w:jc w:val="both"/>
      </w:pPr>
      <w:proofErr w:type="gramStart"/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CD1EB8" w:rsidRDefault="00CD1EB8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lastRenderedPageBreak/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  <w:outlineLvl w:val="1"/>
      </w:pPr>
      <w:r>
        <w:t>IV. Инструменты и механизмы реализации настоящей Стратегии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34. План мероприятий по реализации настоящей Стратегии </w:t>
      </w:r>
      <w:proofErr w:type="gramStart"/>
      <w:r>
        <w:t>разрабатывает и утверждает</w:t>
      </w:r>
      <w:proofErr w:type="gramEnd"/>
      <w:r>
        <w:t xml:space="preserve"> Правительство Российской Федерации.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lastRenderedPageBreak/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</w:t>
      </w:r>
      <w:r>
        <w:lastRenderedPageBreak/>
        <w:t xml:space="preserve">деятельности по основаниям,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CD1EB8" w:rsidRDefault="00CD1EB8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jc w:val="both"/>
      </w:pPr>
    </w:p>
    <w:p w:rsidR="00CD1EB8" w:rsidRDefault="00CD1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ACA" w:rsidRDefault="00453ACA">
      <w:bookmarkStart w:id="0" w:name="_GoBack"/>
      <w:bookmarkEnd w:id="0"/>
    </w:p>
    <w:sectPr w:rsidR="00453ACA" w:rsidSect="00A2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8"/>
    <w:rsid w:val="00453ACA"/>
    <w:rsid w:val="00C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8D377934803DF0DBE00D31B7464B91261AC4ACFF81C51D32966201C0EE5373141D806670209247161510ACA2D18BB0EB56EB2BC7A352EgCL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8D377934803DF0DBE00D31B7464B9106DA544CAF51C51D32966201C0EE5373141D8016C5658612167065B907915A60CAB6DgBL2G" TargetMode="External"/><Relationship Id="rId12" Type="http://schemas.openxmlformats.org/officeDocument/2006/relationships/hyperlink" Target="consultantplus://offline/ref=F5F8D377934803DF0DBE00D31B7464B9106DA544CAF51C51D32966201C0EE5372341800A640217247474075B8Cg7L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8D377934803DF0DBE00D31B7464B91261A94DCFF11C51D32966201C0EE5372341800A640217247474075B8Cg7L8G" TargetMode="External"/><Relationship Id="rId11" Type="http://schemas.openxmlformats.org/officeDocument/2006/relationships/hyperlink" Target="consultantplus://offline/ref=F5F8D377934803DF0DBE05DC187464B9166BAE4EC0FA415BDB706A221B01BA323650D804671C08256A680559g8LE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5F8D377934803DF0DBE05DC187464B9166BAE4EC0FA415BDB706A221B01BA323650D804671C08256A680559g8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8D377934803DF0DBE00D31B7464B91160AA49C2A74B53827C6825145EBF272708D6077903093B766A07g5L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Евсеев</dc:creator>
  <cp:lastModifiedBy>Сергей Владимирович Евсеев</cp:lastModifiedBy>
  <cp:revision>1</cp:revision>
  <dcterms:created xsi:type="dcterms:W3CDTF">2020-10-30T06:11:00Z</dcterms:created>
  <dcterms:modified xsi:type="dcterms:W3CDTF">2020-10-30T06:12:00Z</dcterms:modified>
</cp:coreProperties>
</file>