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pacing w:lineRule="auto" w:line="240" w:before="0" w:after="0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Приложение</w:t>
      </w:r>
    </w:p>
    <w:p>
      <w:pPr>
        <w:pStyle w:val="Normal"/>
        <w:widowControl/>
        <w:spacing w:lineRule="auto" w:line="240"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spacing w:lineRule="auto" w:line="240"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spacing w:lineRule="auto" w:line="240" w:before="0" w:after="0"/>
        <w:jc w:val="center"/>
        <w:rPr>
          <w:color w:val="000000"/>
        </w:rPr>
      </w:pPr>
      <w:r>
        <w:rPr>
          <w:rFonts w:ascii="Times New Roman" w:hAnsi="Times New Roman"/>
          <w:color w:val="000000"/>
          <w:sz w:val="26"/>
        </w:rPr>
        <w:t xml:space="preserve">Список заявок, </w:t>
      </w:r>
    </w:p>
    <w:p>
      <w:pPr>
        <w:pStyle w:val="Normal"/>
        <w:widowControl/>
        <w:spacing w:lineRule="auto" w:line="240" w:before="0" w:after="0"/>
        <w:jc w:val="center"/>
        <w:rPr>
          <w:color w:val="000000"/>
        </w:rPr>
      </w:pPr>
      <w:r>
        <w:rPr>
          <w:rFonts w:ascii="Times New Roman" w:hAnsi="Times New Roman"/>
          <w:color w:val="000000"/>
          <w:sz w:val="26"/>
        </w:rPr>
        <w:t>поданных для участия во втором конкурсе СО НКО</w:t>
      </w:r>
    </w:p>
    <w:p>
      <w:pPr>
        <w:pStyle w:val="Normal"/>
        <w:widowControl/>
        <w:spacing w:lineRule="auto" w:line="240" w:before="0" w:after="0"/>
        <w:jc w:val="center"/>
        <w:rPr>
          <w:color w:val="000000"/>
        </w:rPr>
      </w:pPr>
      <w:r>
        <w:rPr>
          <w:rFonts w:ascii="Times New Roman" w:hAnsi="Times New Roman"/>
          <w:color w:val="000000"/>
          <w:sz w:val="26"/>
        </w:rPr>
        <w:t xml:space="preserve">на право получения в 2026 году </w:t>
        <w:br/>
        <w:t>грантов из окружного бюджета</w:t>
      </w:r>
    </w:p>
    <w:p>
      <w:pPr>
        <w:pStyle w:val="Normal"/>
        <w:widowControl/>
        <w:spacing w:lineRule="auto" w:line="240" w:before="0" w:after="0"/>
        <w:rPr>
          <w:color w:val="000000"/>
        </w:rPr>
      </w:pPr>
      <w:r>
        <w:rPr>
          <w:color w:val="000000"/>
        </w:rPr>
      </w:r>
    </w:p>
    <w:tbl>
      <w:tblPr>
        <w:tblStyle w:val="Style_1"/>
        <w:tblW w:w="15396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3401"/>
        <w:gridCol w:w="1418"/>
        <w:gridCol w:w="2268"/>
        <w:gridCol w:w="5983"/>
        <w:gridCol w:w="1870"/>
      </w:tblGrid>
      <w:tr>
        <w:trPr/>
        <w:tc>
          <w:tcPr>
            <w:tcW w:w="45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</w:rPr>
              <w:t>№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Наименование организации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-108" w:right="-108"/>
              <w:jc w:val="center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ИНН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Название проекта</w:t>
            </w:r>
          </w:p>
        </w:tc>
        <w:tc>
          <w:tcPr>
            <w:tcW w:w="598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Краткое описание проекта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-79" w:right="-108"/>
              <w:jc w:val="center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Размер запрашиваемой суммы</w:t>
            </w:r>
          </w:p>
        </w:tc>
      </w:tr>
      <w:tr>
        <w:trPr/>
        <w:tc>
          <w:tcPr>
            <w:tcW w:w="45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</w:rPr>
              <w:t>1</w:t>
            </w:r>
          </w:p>
        </w:tc>
        <w:tc>
          <w:tcPr>
            <w:tcW w:w="3401" w:type="dxa"/>
            <w:tcBorders/>
          </w:tcPr>
          <w:p>
            <w:pPr>
              <w:pStyle w:val="BodyText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Религиозная организация «Нарьян-Марская Епархия Русской Православной Церкви (Московский Патриархат)»</w:t>
            </w:r>
          </w:p>
        </w:tc>
        <w:tc>
          <w:tcPr>
            <w:tcW w:w="1418" w:type="dxa"/>
            <w:tcBorders/>
          </w:tcPr>
          <w:p>
            <w:pPr>
              <w:pStyle w:val="BodyText"/>
              <w:widowControl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2983008261</w:t>
            </w:r>
          </w:p>
          <w:p>
            <w:pPr>
              <w:pStyle w:val="Normal"/>
              <w:widowControl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«Духовные основы патриотизма: укрепление межнациональных и традиционных ценностей и гражданской идентичности в отдаленных поселениях Ненецкого автономного округа»</w:t>
            </w:r>
          </w:p>
        </w:tc>
        <w:tc>
          <w:tcPr>
            <w:tcW w:w="598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Д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уховно-нравственное и патриотическое воспитание населения отдаленных районов НАО посредством проведения цикла миссионерских поездок, направленных на укрепление межнациональных отношений и гражданской идентичности, а также на формирование осознанной любви к Родине.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Организ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ация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 xml:space="preserve"> и прове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дение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 xml:space="preserve"> не менее 5 миссионерских поездок в отдаленные поселения епархии в течение 2026 года.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Прове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дение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 xml:space="preserve"> не менее 15 просветительских мероприятий (бесед, лекций, круглых столов) на темы: «Вера и Отечество: историческая связь», «Христианские добродетели в современном мире», «Жертвенное служение как основа патриотизма».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рганиз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ация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 xml:space="preserve"> тематически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х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 xml:space="preserve"> встреч с молодежью допризывного возраста и военнослужащими местных воинских частей (не менее 3 встреч).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нформационное сопровождение проекта.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-79" w:right="-108"/>
              <w:jc w:val="center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87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7 000,00</w:t>
            </w:r>
          </w:p>
        </w:tc>
      </w:tr>
      <w:tr>
        <w:trPr/>
        <w:tc>
          <w:tcPr>
            <w:tcW w:w="45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</w:rPr>
              <w:t>2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Местная религиозная организация «Старообрядческая поморская община» города Нарьян-Мара Древлеправославной Поморской Церкви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-108" w:right="-108"/>
              <w:jc w:val="center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8300004378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«Духовной памятью едины: от Победы в Великой Отечественной войне к 100-летию Ненецкого автономного округа»</w:t>
            </w:r>
          </w:p>
        </w:tc>
        <w:tc>
          <w:tcPr>
            <w:tcW w:w="598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Укрепление межнационального и межконфессионального единства в Ненецком автономном округе через сохранение исторической памяти о подвиге защитников Отечества – старообрядцев Заполярья – в Год единства народов России и в преддверии 100-летия НАО.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 xml:space="preserve">Организация встречи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и размещения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гостей-паломников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 xml:space="preserve"> из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регионов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 xml:space="preserve"> России. 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Прове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дение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 xml:space="preserve"> крестн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ого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 xml:space="preserve"> ход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а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 xml:space="preserve"> из Нарьян-Мара в Пустозерск с панихидой мученикам за древнюю Святую веру, а также по павшим воинам в Великую Отечественную войну.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Изготов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лен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е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 xml:space="preserve"> и установ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ка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 xml:space="preserve"> стенд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а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 xml:space="preserve"> «Герои-староверы – защитники Родины» на территории церковного комплекса.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-79" w:right="-108"/>
              <w:jc w:val="center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826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 62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5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,00</w:t>
            </w:r>
          </w:p>
        </w:tc>
      </w:tr>
      <w:tr>
        <w:trPr/>
        <w:tc>
          <w:tcPr>
            <w:tcW w:w="45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</w:rPr>
              <w:t>3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Региональная общественная организация «Чувашское землячество «Юман» («Древо жизни») Ненецкого автономного округа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-108" w:right="-108"/>
              <w:jc w:val="center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2983012571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«Народов много! – Россия одна!»</w:t>
            </w:r>
          </w:p>
        </w:tc>
        <w:tc>
          <w:tcPr>
            <w:tcW w:w="598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 xml:space="preserve">Проведение в День народного единства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4 ноября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 xml:space="preserve"> праздника национальных культур с целью патриотического воспитания подрастающего поколения на основе национального духовного наследия, ценностей и традиций национальной культуры и спорта, углубления культурных и спортивных связей, дальнейшее сближение культур и спорта народов, проживающих на территории Ненецкого автономного округа, с использованием активистов «Чувашского землячество «ЮМАН» («Древо жизни») Ненецкого автономного округа» и представителей Дагестанского землячества.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 xml:space="preserve"> 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-79" w:right="-108"/>
              <w:jc w:val="center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698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 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27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0,00</w:t>
            </w:r>
          </w:p>
        </w:tc>
      </w:tr>
      <w:tr>
        <w:trPr/>
        <w:tc>
          <w:tcPr>
            <w:tcW w:w="45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</w:rPr>
              <w:t>4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Региональная общественная организация по сохранению культурного наследия народов, проживающих на территории Ненецкого автономного округа «Разноцветье Арктики»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-108" w:right="-108"/>
              <w:jc w:val="center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2983015043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hanging="0" w:left="-113" w:right="-113"/>
              <w:jc w:val="center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 xml:space="preserve">«ДруЖИТЬ под небом Арктики! – часть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4 (1, 2 сезон)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»</w:t>
            </w:r>
          </w:p>
        </w:tc>
        <w:tc>
          <w:tcPr>
            <w:tcW w:w="598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П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роведени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е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 xml:space="preserve"> мероприятий в рамках проекта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по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даптаци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 xml:space="preserve"> и интеграци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 xml:space="preserve"> детей – инофонов (детей иностранных граждан) плохо владеющих русским языком в российское сообщество, посредством создания занятий по овладению системой русского языка для коммуникации в условиях русской речевой среды (обучение русскому языку), знакомство с историей округа и этическими нормами поведения.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-79" w:right="-108"/>
              <w:jc w:val="center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1 100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 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000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,00</w:t>
            </w:r>
          </w:p>
        </w:tc>
      </w:tr>
      <w:tr>
        <w:trPr/>
        <w:tc>
          <w:tcPr>
            <w:tcW w:w="45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</w:rPr>
              <w:t>5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Местная религиозная организация мусульман рп. Искателей Заполярного района Ненецкого автономного округа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-108" w:right="-108"/>
              <w:jc w:val="center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2983014000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«Ислам против экстремизма и терроризма!»</w:t>
            </w:r>
          </w:p>
        </w:tc>
        <w:tc>
          <w:tcPr>
            <w:tcW w:w="598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Создание условий для духовно-нравственного развития личности и объединение усилий гражданского общества, органов государственной власти в области профилактики экстремизма и терроризма среди населения Ненецкого автономного округа, посредством проведения просветительских мероприятий.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Организация и проведение лекций по профилактике терроризма и экстремизма среди граждан, исповедующих ислам, молодежи.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Организация встреч по чтению и изучению Корана, благотворительный ужин.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Организация и проведение субботников.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-79" w:right="-108"/>
              <w:jc w:val="center"/>
              <w:rPr>
                <w:rFonts w:ascii="Calibri" w:hAnsi="Calibri"/>
                <w:color w:val="000000"/>
                <w:spacing w:val="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774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 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1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  <w:shd w:fill="auto" w:val="clear"/>
              </w:rPr>
              <w:t>00,00</w:t>
            </w:r>
          </w:p>
        </w:tc>
      </w:tr>
      <w:tr>
        <w:trPr/>
        <w:tc>
          <w:tcPr>
            <w:tcW w:w="455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</w:rPr>
              <w:t>6</w:t>
            </w:r>
          </w:p>
        </w:tc>
        <w:tc>
          <w:tcPr>
            <w:tcW w:w="3401" w:type="dxa"/>
            <w:tcBorders>
              <w:top w:val="nil"/>
            </w:tcBorders>
          </w:tcPr>
          <w:p>
            <w:pPr>
              <w:pStyle w:val="BodyText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Региональная общественная организация «Дагестанское землячество Ненецкого автономного округа»</w:t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pStyle w:val="BodyText"/>
              <w:widowControl/>
              <w:spacing w:lineRule="auto" w:line="240" w:before="0" w:after="0"/>
              <w:ind w:hanging="0" w:left="-108" w:right="-108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2983011120</w:t>
            </w: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«Весна Победы!»</w:t>
            </w:r>
          </w:p>
        </w:tc>
        <w:tc>
          <w:tcPr>
            <w:tcW w:w="5983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PT Sans;sans-serif" w:hAnsi="PT Sans;sans-serif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1"/>
                <w:szCs w:val="26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У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борка и благоустройство территории города Нарьян-Мара.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 xml:space="preserve">Встреча и размещение гостей-спортсменов из Республики Дагестан,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приглашенных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для участия в турнире по вольной борьбе, приуроченном к Дню Победы 9 мая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Ознакомление гостей города с памятными местами Нарьян-Мара. Совместное возложение цветов с участниками проекта.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Организация праздничного чаепития.</w:t>
            </w:r>
          </w:p>
        </w:tc>
        <w:tc>
          <w:tcPr>
            <w:tcW w:w="187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-79" w:right="-108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6"/>
                <w:shd w:fill="auto" w:val="clear"/>
              </w:rPr>
              <w:t>440 500,00</w:t>
            </w:r>
          </w:p>
        </w:tc>
      </w:tr>
    </w:tbl>
    <w:p>
      <w:pPr>
        <w:pStyle w:val="Normal"/>
        <w:widowControl/>
        <w:spacing w:lineRule="auto" w:line="240" w:before="0" w:after="0"/>
        <w:rPr>
          <w:rFonts w:ascii="Times New Roman" w:hAnsi="Times New Roman"/>
          <w:b/>
          <w:color w:val="000000"/>
          <w:sz w:val="18"/>
        </w:rPr>
      </w:pPr>
      <w:r>
        <w:rPr>
          <w:rFonts w:ascii="Times New Roman" w:hAnsi="Times New Roman"/>
          <w:b/>
          <w:color w:val="000000"/>
          <w:sz w:val="18"/>
        </w:rPr>
      </w:r>
    </w:p>
    <w:sectPr>
      <w:type w:val="nextPage"/>
      <w:pgSz w:orient="landscape" w:w="16838" w:h="11906"/>
      <w:pgMar w:left="851" w:right="851" w:gutter="0" w:header="0" w:top="1134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XO Thames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PT Sans">
    <w:altName w:val="sans-serif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oto Serif CJK SC" w:cs="FreeSans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Noto Serif CJK SC" w:cs="Free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0"/>
    </w:pPr>
    <w:rPr>
      <w:rFonts w:ascii="XO Thames" w:hAnsi="XO Thames" w:eastAsia="Noto Serif CJK SC" w:cs="Free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1"/>
    </w:pPr>
    <w:rPr>
      <w:rFonts w:ascii="XO Thames" w:hAnsi="XO Thames" w:eastAsia="Noto Serif CJK SC" w:cs="Free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2"/>
    </w:pPr>
    <w:rPr>
      <w:rFonts w:ascii="XO Thames" w:hAnsi="XO Thames" w:eastAsia="Noto Serif CJK SC" w:cs="Free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basedOn w:val="Normal"/>
    <w:uiPriority w:val="9"/>
    <w:qFormat/>
    <w:pPr>
      <w:widowControl/>
      <w:spacing w:lineRule="auto" w:line="240" w:beforeAutospacing="1" w:afterAutospacing="1"/>
      <w:outlineLvl w:val="3"/>
    </w:pPr>
    <w:rPr>
      <w:rFonts w:ascii="Times New Roman" w:hAnsi="Times New Roman"/>
      <w:b/>
      <w:sz w:val="24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4"/>
    </w:pPr>
    <w:rPr>
      <w:rFonts w:ascii="XO Thames" w:hAnsi="XO Thames" w:eastAsia="Noto Serif CJK SC" w:cs="Free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DefaultParagraphFont">
    <w:name w:val="Default Paragraph Font"/>
    <w:link w:val="DefaultParagraphFont1"/>
    <w:qFormat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BalloonText">
    <w:name w:val="Balloon Text"/>
    <w:link w:val="BalloonText1"/>
    <w:qFormat/>
    <w:rPr>
      <w:rFonts w:ascii="Segoe UI" w:hAnsi="Segoe UI"/>
      <w:sz w:val="18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Times New Roman" w:hAnsi="Times New Roman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OC2">
    <w:name w:val="toc 2"/>
    <w:next w:val="Normal"/>
    <w:uiPriority w:val="39"/>
    <w:pPr>
      <w:widowControl/>
      <w:bidi w:val="0"/>
      <w:spacing w:lineRule="auto" w:line="276" w:before="0" w:after="200"/>
      <w:ind w:hanging="0" w:left="2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76" w:before="0" w:after="200"/>
      <w:ind w:hanging="0" w:left="6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76" w:before="0" w:after="200"/>
      <w:ind w:hanging="0" w:left="10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76" w:before="0" w:after="200"/>
      <w:ind w:hanging="0" w:left="12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bidi w:val="0"/>
      <w:spacing w:lineRule="auto" w:line="276" w:before="0" w:after="200"/>
      <w:ind w:firstLine="851" w:left="0" w:right="0"/>
      <w:jc w:val="both"/>
    </w:pPr>
    <w:rPr>
      <w:rFonts w:ascii="XO Thames" w:hAnsi="XO Thames" w:eastAsia="Noto Serif CJK SC" w:cs="Free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76" w:before="0" w:after="200"/>
      <w:ind w:hanging="0" w:left="4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Noto Serif CJK SC" w:cs="Free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Noto Serif CJK SC" w:cs="FreeSans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76" w:before="0" w:after="200"/>
      <w:ind w:firstLine="851" w:left="0" w:right="0"/>
      <w:jc w:val="both"/>
    </w:pPr>
    <w:rPr>
      <w:rFonts w:ascii="XO Thames" w:hAnsi="XO Thames" w:eastAsia="Noto Serif CJK SC" w:cs="Free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76" w:before="0" w:after="200"/>
      <w:ind w:hanging="0" w:left="0" w:right="0"/>
      <w:jc w:val="left"/>
    </w:pPr>
    <w:rPr>
      <w:rFonts w:ascii="XO Thames" w:hAnsi="XO Thames" w:eastAsia="Noto Serif CJK SC" w:cs="Free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1">
    <w:name w:val="Колонтитулы"/>
    <w:qFormat/>
    <w:pPr>
      <w:widowControl/>
      <w:bidi w:val="0"/>
      <w:spacing w:lineRule="auto" w:line="240" w:before="0" w:after="200"/>
      <w:ind w:hanging="0" w:left="0" w:right="0"/>
      <w:jc w:val="both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76" w:before="0" w:after="200"/>
      <w:ind w:hanging="0" w:left="16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76" w:before="0" w:after="200"/>
      <w:ind w:hanging="0" w:left="14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76" w:before="0" w:after="200"/>
      <w:ind w:hanging="0" w:left="8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76" w:before="0" w:after="200"/>
      <w:ind w:hanging="0" w:left="0" w:right="0"/>
      <w:jc w:val="both"/>
    </w:pPr>
    <w:rPr>
      <w:rFonts w:ascii="XO Thames" w:hAnsi="XO Thames" w:eastAsia="Noto Serif CJK SC" w:cs="Free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>
      <w:widowControl/>
      <w:spacing w:lineRule="auto" w:line="240" w:before="0" w:after="0"/>
    </w:pPr>
    <w:rPr>
      <w:rFonts w:ascii="Segoe UI" w:hAnsi="Segoe UI"/>
      <w:sz w:val="18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76" w:before="567" w:after="567"/>
      <w:ind w:hanging="0" w:left="0" w:right="0"/>
      <w:jc w:val="center"/>
    </w:pPr>
    <w:rPr>
      <w:rFonts w:ascii="XO Thames" w:hAnsi="XO Thames" w:eastAsia="Noto Serif CJK SC" w:cs="Free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table" w:styleId="Style_1">
    <w:name w:val="Table Grid"/>
    <w:basedOn w:val="Style_25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default="1" w:styleId="Style_25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LibreOffice/25.2.6.2$Linux_X86_64 LibreOffice_project/520$Build-2</Application>
  <AppVersion>15.0000</AppVersion>
  <Pages>3</Pages>
  <Words>543</Words>
  <Characters>4045</Characters>
  <CharactersWithSpaces>4539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2026-08-18T08:36:28Z</dcterms:created>
  <dc:creator/>
  <dc:description/>
  <dc:language>ru-RU</dc:language>
  <cp:lastModifiedBy/>
  <dcterms:modified xsi:type="dcterms:W3CDTF">2026-08-18T12:36:41Z</dcterms:modified>
  <cp:revision>6</cp:revision>
  <dc:subject/>
  <dc:title/>
</cp:coreProperties>
</file>